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843" w:rsidRPr="00B64843" w:rsidRDefault="00B64843" w:rsidP="00B64843">
      <w:pPr>
        <w:spacing w:before="120" w:after="0" w:line="240" w:lineRule="auto"/>
        <w:jc w:val="center"/>
        <w:rPr>
          <w:rFonts w:ascii="Calibri" w:hAnsi="Calibri" w:cs="Calibri"/>
          <w:color w:val="17365D" w:themeColor="text2" w:themeShade="BF"/>
          <w:sz w:val="32"/>
          <w:szCs w:val="32"/>
        </w:rPr>
      </w:pPr>
      <w:r w:rsidRPr="00B64843">
        <w:rPr>
          <w:rFonts w:ascii="Calibri" w:hAnsi="Calibri" w:cs="Calibri"/>
          <w:color w:val="17365D" w:themeColor="text2" w:themeShade="BF"/>
          <w:sz w:val="32"/>
          <w:szCs w:val="32"/>
        </w:rPr>
        <w:t>ADAB-I MUAŞERET</w:t>
      </w:r>
    </w:p>
    <w:p w:rsidR="00B64843" w:rsidRPr="00B64843" w:rsidRDefault="00B64843" w:rsidP="00B64843">
      <w:pPr>
        <w:spacing w:before="120" w:after="0" w:line="240" w:lineRule="auto"/>
        <w:jc w:val="both"/>
        <w:rPr>
          <w:rFonts w:ascii="Calibri" w:hAnsi="Calibri" w:cs="Calibri"/>
          <w:b/>
          <w:bCs/>
          <w:sz w:val="24"/>
          <w:szCs w:val="24"/>
        </w:rPr>
      </w:pPr>
      <w:r w:rsidRPr="00B64843">
        <w:rPr>
          <w:rFonts w:ascii="Calibri" w:hAnsi="Calibri" w:cs="Calibri"/>
          <w:b/>
          <w:bCs/>
          <w:sz w:val="24"/>
          <w:szCs w:val="24"/>
        </w:rPr>
        <w:t>Adab-ı muaşeret; beşerî münasebetlerde İslam ahlak ve adabına uygun ve İslamiyetin güzelliğini gösteren hareketler olup, kemalat-ı insaniyenin üstün derecesini gösterir.</w:t>
      </w:r>
    </w:p>
    <w:p w:rsidR="00B64843" w:rsidRPr="00B64843" w:rsidRDefault="00B64843" w:rsidP="00B64843">
      <w:pPr>
        <w:spacing w:before="120" w:after="0" w:line="240" w:lineRule="auto"/>
        <w:jc w:val="both"/>
        <w:rPr>
          <w:rFonts w:ascii="Calibri" w:hAnsi="Calibri" w:cs="Calibri"/>
          <w:b/>
          <w:bCs/>
          <w:sz w:val="24"/>
          <w:szCs w:val="24"/>
        </w:rPr>
      </w:pPr>
      <w:r w:rsidRPr="00B64843">
        <w:rPr>
          <w:rFonts w:ascii="Calibri" w:hAnsi="Calibri" w:cs="Calibri"/>
          <w:b/>
          <w:bCs/>
          <w:sz w:val="24"/>
          <w:szCs w:val="24"/>
        </w:rPr>
        <w:t>Hz. Bediüzzaman bu hakikatı şöyle ifade eder:</w:t>
      </w:r>
    </w:p>
    <w:p w:rsidR="00B64843" w:rsidRPr="00B64843" w:rsidRDefault="00B64843" w:rsidP="00B64843">
      <w:pPr>
        <w:spacing w:before="120" w:after="0" w:line="240" w:lineRule="auto"/>
        <w:jc w:val="both"/>
        <w:rPr>
          <w:rFonts w:ascii="Calibri" w:hAnsi="Calibri" w:cs="Calibri"/>
          <w:sz w:val="24"/>
          <w:szCs w:val="24"/>
        </w:rPr>
      </w:pPr>
      <w:r w:rsidRPr="00B64843">
        <w:rPr>
          <w:rFonts w:ascii="Calibri" w:hAnsi="Calibri" w:cs="Calibri"/>
          <w:sz w:val="24"/>
          <w:szCs w:val="24"/>
        </w:rPr>
        <w:t>“Eğer biz ahlâk-ı İslâmiyenin ve hakaik-i imaniyenin kemalâtını ef’alimizle izhar etsek, sair dinlerin tâbileri elbette cemaatlerle İslâmiyet’e girecekler. Belki küre-i arzın bazı kıt’aları ve devletleri de İslâmiyet’e dehalet edecekler.</w:t>
      </w:r>
    </w:p>
    <w:p w:rsidR="00B64843" w:rsidRPr="00B64843" w:rsidRDefault="00B64843" w:rsidP="00B64843">
      <w:pPr>
        <w:spacing w:before="120" w:after="0" w:line="240" w:lineRule="auto"/>
        <w:jc w:val="both"/>
        <w:rPr>
          <w:rFonts w:ascii="Calibri" w:hAnsi="Calibri" w:cs="Calibri"/>
          <w:b/>
          <w:bCs/>
          <w:sz w:val="24"/>
          <w:szCs w:val="24"/>
        </w:rPr>
      </w:pPr>
      <w:r w:rsidRPr="00B64843">
        <w:rPr>
          <w:rFonts w:ascii="Calibri" w:hAnsi="Calibri" w:cs="Calibri"/>
          <w:sz w:val="24"/>
          <w:szCs w:val="24"/>
        </w:rPr>
        <w:t xml:space="preserve">“Eğer biz, doğru İslâmiyet’i ve İslâmiyet’e lâyık doğruluğu ve istikameti göstersek, bundan sonra onlardan fevc fevc dâhil olacaklardır.” </w:t>
      </w:r>
      <w:r w:rsidRPr="00B64843">
        <w:rPr>
          <w:rFonts w:ascii="Calibri" w:hAnsi="Calibri" w:cs="Calibri"/>
          <w:b/>
          <w:bCs/>
          <w:sz w:val="24"/>
          <w:szCs w:val="24"/>
        </w:rPr>
        <w:t>Münazarat sh:46 şeklindeki vecizeler, İslam dünyasını bütün milletler için örnek yapar. Bilhassa Nur Talebeleri bu hususta en ileri derecede nümune-i imtisal olmalıdır.</w:t>
      </w:r>
    </w:p>
    <w:p w:rsidR="00B64843" w:rsidRPr="00B64843" w:rsidRDefault="00B64843" w:rsidP="00B64843">
      <w:pPr>
        <w:spacing w:before="120" w:after="0" w:line="240" w:lineRule="auto"/>
        <w:jc w:val="both"/>
        <w:rPr>
          <w:rFonts w:ascii="Calibri" w:hAnsi="Calibri" w:cs="Calibri"/>
          <w:b/>
          <w:bCs/>
          <w:sz w:val="24"/>
          <w:szCs w:val="24"/>
        </w:rPr>
      </w:pPr>
      <w:r w:rsidRPr="00B64843">
        <w:rPr>
          <w:rFonts w:ascii="Calibri" w:hAnsi="Calibri" w:cs="Calibri"/>
          <w:b/>
          <w:bCs/>
          <w:sz w:val="24"/>
          <w:szCs w:val="24"/>
        </w:rPr>
        <w:t>Hz. Bediüzzaman’ın nümune-i imtisal bir fazileti şöyle ifade ediliyor:</w:t>
      </w:r>
    </w:p>
    <w:p w:rsidR="00B64843" w:rsidRPr="00B64843" w:rsidRDefault="00B64843" w:rsidP="00B64843">
      <w:pPr>
        <w:spacing w:before="120" w:after="0" w:line="240" w:lineRule="auto"/>
        <w:jc w:val="both"/>
        <w:rPr>
          <w:rFonts w:ascii="Calibri" w:hAnsi="Calibri" w:cs="Calibri"/>
          <w:sz w:val="24"/>
          <w:szCs w:val="24"/>
        </w:rPr>
      </w:pPr>
      <w:r w:rsidRPr="00B64843">
        <w:rPr>
          <w:rFonts w:ascii="Calibri" w:hAnsi="Calibri" w:cs="Calibri"/>
          <w:sz w:val="24"/>
          <w:szCs w:val="24"/>
        </w:rPr>
        <w:t>“Üstadım başkalarında nâdiren bulunan mümtaz hasletlerin zâhirî tavrının pek fevkınde bir vaziyet gösteriyor. Zâhir hâle bakılsa; ilm-i hâli bilmiyor gibi görünür, birden bakarsın bir deryâ kesiliyor. Me’zun olduğu miktarı, Resûl-i Ekrem Aleyhissalâtü Vesselâm’dan istifade derecesi nisbetinde söyler. Resûl-i Ekrem Aleyhissalâtü Vesselâm’dan istifadesi olmadığı vakitlerde, yeni ay gibi mahviyet gösterir. “Bende nur yok, kıymet yok” der. Bu hasleti de tam tevazu’dur, ve</w:t>
      </w:r>
      <w:r>
        <w:rPr>
          <w:rFonts w:ascii="Calibri" w:hAnsi="Calibri" w:cs="Calibri"/>
          <w:sz w:val="24"/>
          <w:szCs w:val="24"/>
        </w:rPr>
        <w:t xml:space="preserve"> </w:t>
      </w:r>
      <w:r w:rsidRPr="00B64843">
        <w:rPr>
          <w:rFonts w:ascii="Calibri" w:hAnsi="Calibri" w:cs="Calibri"/>
          <w:color w:val="FF0000"/>
          <w:sz w:val="28"/>
          <w:szCs w:val="28"/>
          <w:rtl/>
        </w:rPr>
        <w:t>مَنْ تَوَاضَعَ رَفَعَهُ اللهُ</w:t>
      </w:r>
      <w:r>
        <w:rPr>
          <w:rFonts w:ascii="Calibri" w:hAnsi="Calibri" w:cs="Calibri"/>
          <w:color w:val="FF0000"/>
          <w:sz w:val="28"/>
          <w:szCs w:val="28"/>
        </w:rPr>
        <w:t xml:space="preserve"> </w:t>
      </w:r>
      <w:r w:rsidRPr="00B64843">
        <w:rPr>
          <w:rFonts w:ascii="Calibri" w:hAnsi="Calibri" w:cs="Calibri"/>
          <w:sz w:val="24"/>
          <w:szCs w:val="24"/>
        </w:rPr>
        <w:t>Hadîsiyle, tam âmil olmasıdır.</w:t>
      </w:r>
    </w:p>
    <w:p w:rsidR="00B64843" w:rsidRPr="00B64843" w:rsidRDefault="00B64843" w:rsidP="00B64843">
      <w:pPr>
        <w:spacing w:before="120" w:after="0" w:line="240" w:lineRule="auto"/>
        <w:jc w:val="both"/>
        <w:rPr>
          <w:rFonts w:ascii="Calibri" w:hAnsi="Calibri" w:cs="Calibri"/>
          <w:sz w:val="24"/>
          <w:szCs w:val="24"/>
        </w:rPr>
      </w:pPr>
      <w:r w:rsidRPr="00B64843">
        <w:rPr>
          <w:rFonts w:ascii="Calibri" w:hAnsi="Calibri" w:cs="Calibri"/>
          <w:sz w:val="24"/>
          <w:szCs w:val="24"/>
        </w:rPr>
        <w:t xml:space="preserve">İşte; bu haslet icabatındandır ki, bizim gibi talebelerinden bazı mesâil-i ilmiyede muhalefet bulunsa, onların sözlerini içinde arar; hak bulduğu vakit kemâl-i tevâzu’ ile ve lezzetle kabul ederek teslim eder. “Mâşâallah, siz benden daha iyi bildiniz. Allah râzı olsun” der. Hak ve hakikatı, nefsin gurur ve enâniyetine daima tercih eder. Hattâ ben bazı mes’elelerde muhalefet ediyordum. Bana karşı gayet mültefit, memnunâne bir tavır alır; eğer yanlış yapsam, güzelce damarıma dokunmayarak beni îkaz eder. Eğer güzel birşey söylemiş isem, çok memnun olur.” </w:t>
      </w:r>
      <w:r w:rsidRPr="00B64843">
        <w:rPr>
          <w:rFonts w:ascii="Calibri" w:hAnsi="Calibri" w:cs="Calibri"/>
          <w:b/>
          <w:bCs/>
          <w:sz w:val="24"/>
          <w:szCs w:val="24"/>
        </w:rPr>
        <w:t>(Tarihçe-i Hayat sh:212)</w:t>
      </w:r>
    </w:p>
    <w:p w:rsidR="00B64843" w:rsidRPr="00B64843" w:rsidRDefault="00B64843" w:rsidP="00B64843">
      <w:pPr>
        <w:spacing w:before="120" w:after="0" w:line="240" w:lineRule="auto"/>
        <w:jc w:val="both"/>
        <w:rPr>
          <w:rFonts w:ascii="Calibri" w:hAnsi="Calibri" w:cs="Calibri"/>
          <w:b/>
          <w:bCs/>
          <w:sz w:val="24"/>
          <w:szCs w:val="24"/>
        </w:rPr>
      </w:pPr>
      <w:r w:rsidRPr="00B64843">
        <w:rPr>
          <w:rFonts w:ascii="Calibri" w:hAnsi="Calibri" w:cs="Calibri"/>
          <w:b/>
          <w:bCs/>
          <w:sz w:val="24"/>
          <w:szCs w:val="24"/>
        </w:rPr>
        <w:t>İlmî mübaheselerde gereken adab-ı İslamiye tarzı şöyle izah ediliyor:</w:t>
      </w:r>
    </w:p>
    <w:p w:rsidR="00B64843" w:rsidRPr="00B64843" w:rsidRDefault="00B64843" w:rsidP="00B64843">
      <w:pPr>
        <w:spacing w:before="120" w:after="0" w:line="240" w:lineRule="auto"/>
        <w:jc w:val="both"/>
        <w:rPr>
          <w:rFonts w:ascii="Calibri" w:hAnsi="Calibri" w:cs="Calibri"/>
          <w:sz w:val="24"/>
          <w:szCs w:val="24"/>
        </w:rPr>
      </w:pPr>
      <w:r w:rsidRPr="00B64843">
        <w:rPr>
          <w:rFonts w:ascii="Calibri" w:hAnsi="Calibri" w:cs="Calibri"/>
          <w:sz w:val="24"/>
          <w:szCs w:val="24"/>
        </w:rPr>
        <w:t>“Mezkûr mesail gibi dakik mesail-i imaniyeyi, mizansız mücadele suretinde cemaat içinde bahsetmek caiz değildir. Mizansız mücadele olduğundan, tiryak iken zehir olur. Diyenlere, dinleyenlere zarardır. Belki böyle mesail-i imaniyenin itidal-i demle, insafla, bir müdavele-i efkâr suretinde bahsi caizdir…”</w:t>
      </w:r>
      <w:r w:rsidRPr="00B64843">
        <w:rPr>
          <w:rFonts w:ascii="Calibri" w:hAnsi="Calibri" w:cs="Calibri"/>
          <w:b/>
          <w:bCs/>
          <w:sz w:val="24"/>
          <w:szCs w:val="24"/>
        </w:rPr>
        <w:t xml:space="preserve"> (Mektubat sh: 45)</w:t>
      </w:r>
    </w:p>
    <w:p w:rsidR="00B64843" w:rsidRPr="00B64843" w:rsidRDefault="00B64843" w:rsidP="00B64843">
      <w:pPr>
        <w:spacing w:before="120" w:after="0" w:line="240" w:lineRule="auto"/>
        <w:jc w:val="both"/>
        <w:rPr>
          <w:rFonts w:ascii="Calibri" w:hAnsi="Calibri" w:cs="Calibri"/>
          <w:sz w:val="24"/>
          <w:szCs w:val="24"/>
        </w:rPr>
      </w:pPr>
      <w:r w:rsidRPr="00B64843">
        <w:rPr>
          <w:rFonts w:ascii="Calibri" w:hAnsi="Calibri" w:cs="Calibri"/>
          <w:sz w:val="24"/>
          <w:szCs w:val="24"/>
        </w:rPr>
        <w:t xml:space="preserve">“Evvelâ: Bu çeşit mesaili münakaşa etmenin birinci şartı; insaf ile, hakkı bulmak niyetiyle, inadsız bir surette, ehil olanların mabeyninde, sû’-i telakkiye sebeb olmadan müzakeresi caiz olabilir. O müzakere hak için olduğuna delil şudur ki: Eğer hak, muarızın elinde zahir olsa, müteessir olmasın, belki memnun olsun; çünki bilmediği şey’i öğrendi. Eğer kendi elinde zahir olsa, fazla birşey öğrenmedi, belki gurura düşmek ihtimali var.” </w:t>
      </w:r>
      <w:r w:rsidRPr="00B64843">
        <w:rPr>
          <w:rFonts w:ascii="Calibri" w:hAnsi="Calibri" w:cs="Calibri"/>
          <w:b/>
          <w:bCs/>
          <w:sz w:val="24"/>
          <w:szCs w:val="24"/>
        </w:rPr>
        <w:t>(Mektubat:350)</w:t>
      </w:r>
    </w:p>
    <w:p w:rsidR="00B64843" w:rsidRPr="00B64843" w:rsidRDefault="00B64843" w:rsidP="00B64843">
      <w:pPr>
        <w:spacing w:before="120" w:after="0" w:line="240" w:lineRule="auto"/>
        <w:jc w:val="both"/>
        <w:rPr>
          <w:rFonts w:ascii="Calibri" w:hAnsi="Calibri" w:cs="Calibri"/>
          <w:sz w:val="24"/>
          <w:szCs w:val="24"/>
        </w:rPr>
      </w:pPr>
      <w:r w:rsidRPr="00B64843">
        <w:rPr>
          <w:rFonts w:ascii="Calibri" w:hAnsi="Calibri" w:cs="Calibri"/>
          <w:sz w:val="24"/>
          <w:szCs w:val="24"/>
        </w:rPr>
        <w:t xml:space="preserve">“… Re’fet Bey mektubunda diyor: “Bu mes’ele ihvanlar beyninde medar-ı münakaşa olmuş.” Kardeşlerime tavsiye ediyorum ki: İnşikaka ve iftiraka sebebiyet veren münakaşa etmesinler. Yalnız müdavele-i efkâr suretinde niza’sız mübahaseye alışsınlar…” </w:t>
      </w:r>
      <w:r w:rsidRPr="00B64843">
        <w:rPr>
          <w:rFonts w:ascii="Calibri" w:hAnsi="Calibri" w:cs="Calibri"/>
          <w:b/>
          <w:bCs/>
          <w:sz w:val="24"/>
          <w:szCs w:val="24"/>
        </w:rPr>
        <w:t>(Lem’alar:106)</w:t>
      </w:r>
    </w:p>
    <w:p w:rsidR="00B64843" w:rsidRPr="00B64843" w:rsidRDefault="00B64843" w:rsidP="00B64843">
      <w:pPr>
        <w:spacing w:before="120" w:after="0" w:line="240" w:lineRule="auto"/>
        <w:jc w:val="both"/>
        <w:rPr>
          <w:rFonts w:ascii="Calibri" w:hAnsi="Calibri" w:cs="Calibri"/>
          <w:sz w:val="24"/>
          <w:szCs w:val="24"/>
        </w:rPr>
      </w:pPr>
      <w:r w:rsidRPr="00B64843">
        <w:rPr>
          <w:rFonts w:ascii="Calibri" w:hAnsi="Calibri" w:cs="Calibri"/>
          <w:sz w:val="24"/>
          <w:szCs w:val="24"/>
        </w:rPr>
        <w:t>“Evet fena bir adama “İyisin iyisin” desen, iyileşmesi ve iyi adama “Fenasın fenasın” desen, fenalaşması çok vukubulur. Öyle ise</w:t>
      </w:r>
    </w:p>
    <w:p w:rsidR="00B64843" w:rsidRPr="00B64843" w:rsidRDefault="00B64843" w:rsidP="00B64843">
      <w:pPr>
        <w:spacing w:before="120" w:after="0" w:line="240" w:lineRule="auto"/>
        <w:jc w:val="center"/>
        <w:rPr>
          <w:rFonts w:ascii="Calibri" w:hAnsi="Calibri" w:cs="Calibri"/>
          <w:color w:val="FF0000"/>
          <w:sz w:val="28"/>
          <w:szCs w:val="28"/>
        </w:rPr>
      </w:pPr>
      <w:r w:rsidRPr="00B64843">
        <w:rPr>
          <w:rFonts w:ascii="Calibri" w:hAnsi="Calibri" w:cs="Calibri"/>
          <w:color w:val="FF0000"/>
          <w:sz w:val="28"/>
          <w:szCs w:val="28"/>
          <w:rtl/>
        </w:rPr>
        <w:t>وَإِذَا مَرُّوا بِاللَّغْوِ مَرُّوا كِرَاماً * وَإِن تَعْفُوا وَتَصْفَحُوا وَتَغْفِرُوا فَإِنَّ اللَّهَ غَفُورٌ رَّحِيمٌ</w:t>
      </w:r>
    </w:p>
    <w:p w:rsidR="00B64843" w:rsidRPr="00B64843" w:rsidRDefault="00B64843" w:rsidP="00B64843">
      <w:pPr>
        <w:spacing w:before="120" w:after="0" w:line="240" w:lineRule="auto"/>
        <w:jc w:val="both"/>
        <w:rPr>
          <w:rFonts w:ascii="Calibri" w:hAnsi="Calibri" w:cs="Calibri"/>
          <w:b/>
          <w:bCs/>
          <w:sz w:val="24"/>
          <w:szCs w:val="24"/>
        </w:rPr>
      </w:pPr>
      <w:r w:rsidRPr="00B64843">
        <w:rPr>
          <w:rFonts w:ascii="Calibri" w:hAnsi="Calibri" w:cs="Calibri"/>
          <w:sz w:val="24"/>
          <w:szCs w:val="24"/>
        </w:rPr>
        <w:lastRenderedPageBreak/>
        <w:t xml:space="preserve">gibi desatir-i kudsiye-i Kur’aniyeye kulak ver, saadet ve selâmet ondadır. </w:t>
      </w:r>
      <w:r w:rsidRPr="00B64843">
        <w:rPr>
          <w:rFonts w:ascii="Calibri" w:hAnsi="Calibri" w:cs="Calibri"/>
          <w:b/>
          <w:bCs/>
          <w:sz w:val="24"/>
          <w:szCs w:val="24"/>
        </w:rPr>
        <w:t>(Mektubat sh: 265)</w:t>
      </w:r>
    </w:p>
    <w:p w:rsidR="00B64843" w:rsidRPr="00B64843" w:rsidRDefault="00B64843" w:rsidP="00B64843">
      <w:pPr>
        <w:spacing w:before="120" w:after="0" w:line="240" w:lineRule="auto"/>
        <w:jc w:val="both"/>
        <w:rPr>
          <w:rFonts w:ascii="Calibri" w:hAnsi="Calibri" w:cs="Calibri"/>
          <w:sz w:val="24"/>
          <w:szCs w:val="24"/>
        </w:rPr>
      </w:pPr>
      <w:r w:rsidRPr="00B64843">
        <w:rPr>
          <w:rFonts w:ascii="Calibri" w:hAnsi="Calibri" w:cs="Calibri"/>
          <w:b/>
          <w:bCs/>
          <w:sz w:val="24"/>
          <w:szCs w:val="24"/>
        </w:rPr>
        <w:t>Evet,</w:t>
      </w:r>
      <w:r w:rsidRPr="00B64843">
        <w:rPr>
          <w:rFonts w:ascii="Calibri" w:hAnsi="Calibri" w:cs="Calibri"/>
          <w:sz w:val="24"/>
          <w:szCs w:val="24"/>
        </w:rPr>
        <w:t xml:space="preserve"> “</w:t>
      </w:r>
      <w:r>
        <w:rPr>
          <w:rFonts w:ascii="Calibri" w:hAnsi="Calibri" w:cs="Calibri"/>
          <w:sz w:val="24"/>
          <w:szCs w:val="24"/>
        </w:rPr>
        <w:t xml:space="preserve"> </w:t>
      </w:r>
      <w:r w:rsidRPr="00B64843">
        <w:rPr>
          <w:rFonts w:ascii="Calibri" w:hAnsi="Calibri" w:cs="Calibri"/>
          <w:color w:val="FF0000"/>
          <w:sz w:val="28"/>
          <w:szCs w:val="28"/>
          <w:rtl/>
        </w:rPr>
        <w:t>وَالْكَاظِمِينَ الْغَيْظَ وَالْعَافِينَ عَنِ النَّاسِ</w:t>
      </w:r>
      <w:r>
        <w:rPr>
          <w:rFonts w:ascii="Calibri" w:hAnsi="Calibri" w:cs="Calibri"/>
          <w:color w:val="FF0000"/>
          <w:sz w:val="28"/>
          <w:szCs w:val="28"/>
        </w:rPr>
        <w:t xml:space="preserve"> </w:t>
      </w:r>
      <w:r w:rsidRPr="00B64843">
        <w:rPr>
          <w:rFonts w:ascii="Calibri" w:hAnsi="Calibri" w:cs="Calibri"/>
          <w:color w:val="000000" w:themeColor="text1"/>
          <w:sz w:val="24"/>
          <w:szCs w:val="24"/>
        </w:rPr>
        <w:t>u</w:t>
      </w:r>
      <w:r w:rsidRPr="00B64843">
        <w:rPr>
          <w:rFonts w:ascii="Calibri" w:hAnsi="Calibri" w:cs="Calibri"/>
          <w:color w:val="000000" w:themeColor="text1"/>
          <w:sz w:val="24"/>
          <w:szCs w:val="24"/>
        </w:rPr>
        <w:t>lüvv</w:t>
      </w:r>
      <w:r w:rsidRPr="00B64843">
        <w:rPr>
          <w:rFonts w:ascii="Calibri" w:hAnsi="Calibri" w:cs="Calibri"/>
          <w:sz w:val="24"/>
          <w:szCs w:val="24"/>
        </w:rPr>
        <w:t xml:space="preserve">-ü cenab düsturuna ittibaen ve avam-ı mü’minînin şeyhlerine karşı hüsn-ü zanlarını kırmamakla, imanlarını sarsılmadan muhafaza etmek ve Risale-i Nur’un erkânlarının haksız itirazlara karşı haklı fakat zararlı hiddetlerinden kurtarmak lüzumuna binaen; ve ehl-i ilhadın iki taife-i ehl-i hakkın mabeynindeki husumetten istifade ederek, birinin silâhıyla, itirazıyla ötekini cerhedip ve ötekinin delilleriyle berikini çürütüp ikisini de yere vurmak ve çürütmekten içtinaben, Risale-i Nur şakirdleri bu mezkûr dört esasa binaen, muarızlara hiddet ve tehevvürle ve mukabele-i bilmisille karşılamamalı. Yalnız kendilerini müdafaa için musalahakârane, medar-ı itiraz noktaları izah etmek ve cevab vermek gerektir.” </w:t>
      </w:r>
      <w:r w:rsidRPr="00B64843">
        <w:rPr>
          <w:rFonts w:ascii="Calibri" w:hAnsi="Calibri" w:cs="Calibri"/>
          <w:b/>
          <w:bCs/>
          <w:sz w:val="24"/>
          <w:szCs w:val="24"/>
        </w:rPr>
        <w:t>(Kastamonu Lahikası sh: 196)</w:t>
      </w:r>
    </w:p>
    <w:p w:rsidR="00B64843" w:rsidRPr="00B64843" w:rsidRDefault="00B64843" w:rsidP="00B64843">
      <w:pPr>
        <w:spacing w:before="120" w:after="0" w:line="240" w:lineRule="auto"/>
        <w:jc w:val="both"/>
        <w:rPr>
          <w:rFonts w:ascii="Calibri" w:hAnsi="Calibri" w:cs="Calibri"/>
          <w:sz w:val="24"/>
          <w:szCs w:val="24"/>
        </w:rPr>
      </w:pPr>
      <w:r>
        <w:rPr>
          <w:rFonts w:ascii="Calibri" w:hAnsi="Calibri" w:cs="Calibri"/>
          <w:sz w:val="24"/>
          <w:szCs w:val="24"/>
        </w:rPr>
        <w:t>“</w:t>
      </w:r>
      <w:r w:rsidRPr="00B64843">
        <w:rPr>
          <w:rFonts w:ascii="Calibri" w:hAnsi="Calibri" w:cs="Calibri"/>
          <w:sz w:val="24"/>
          <w:szCs w:val="24"/>
        </w:rPr>
        <w:t xml:space="preserve">Ülema-i İlm-i Kelâm’ın ve Usûl-üd Din allâmelerinin ve Ehl-i Sünnet Velcemaat’ın dâhî muhakkiklerinin İslâmî akidelere dair çok tedkik ve muhakematla ve âyât ve hadîsleri müvazene ile kabul ettikleri Usûl-üd Din düsturları, şimdiki Risale-i Nur’un meşrebini muhafazaya emrediyor, kuvvet veriyor. Hattâ hiçbir yerde, hattâ ehl-i bid’a kısmı da bu meşrebimize ilişemiyorlar. Hakikat-ı ihlas tam muhafaza edildiği için, her nevi ehl-i İslâm içine giriyor. Şîalıkta mutaassıb ve Vehhabîlikte de müfrit, feylesofların en maddîsi ve mütefennini ve mutaassıb hocaların en enaniyetlisi, beraber Nur dairesine girmeğe başlamışlar ve kısmen şimdi de kardeşçe bulunuyorlar.” </w:t>
      </w:r>
      <w:r>
        <w:rPr>
          <w:rFonts w:ascii="Calibri" w:hAnsi="Calibri" w:cs="Calibri"/>
          <w:b/>
          <w:bCs/>
          <w:sz w:val="24"/>
          <w:szCs w:val="24"/>
        </w:rPr>
        <w:t>(Emirdağ Lahikası-1</w:t>
      </w:r>
      <w:r w:rsidRPr="00B64843">
        <w:rPr>
          <w:rFonts w:ascii="Calibri" w:hAnsi="Calibri" w:cs="Calibri"/>
          <w:b/>
          <w:bCs/>
          <w:sz w:val="24"/>
          <w:szCs w:val="24"/>
        </w:rPr>
        <w:t xml:space="preserve"> sh:211)</w:t>
      </w:r>
    </w:p>
    <w:p w:rsidR="00B64843" w:rsidRPr="00B64843" w:rsidRDefault="00B64843" w:rsidP="00B64843">
      <w:pPr>
        <w:spacing w:before="120" w:after="0" w:line="240" w:lineRule="auto"/>
        <w:jc w:val="both"/>
        <w:rPr>
          <w:rFonts w:ascii="Calibri" w:hAnsi="Calibri" w:cs="Calibri"/>
          <w:sz w:val="24"/>
          <w:szCs w:val="24"/>
        </w:rPr>
      </w:pPr>
      <w:r w:rsidRPr="00B64843">
        <w:rPr>
          <w:rFonts w:ascii="Calibri" w:hAnsi="Calibri" w:cs="Calibri"/>
          <w:sz w:val="24"/>
          <w:szCs w:val="24"/>
        </w:rPr>
        <w:t>“</w:t>
      </w:r>
      <w:r w:rsidRPr="00B64843">
        <w:rPr>
          <w:rFonts w:ascii="Calibri" w:hAnsi="Calibri" w:cs="Calibri"/>
          <w:b/>
          <w:bCs/>
          <w:sz w:val="24"/>
          <w:szCs w:val="24"/>
        </w:rPr>
        <w:t>Eğer dersen:</w:t>
      </w:r>
      <w:r w:rsidRPr="00B64843">
        <w:rPr>
          <w:rFonts w:ascii="Calibri" w:hAnsi="Calibri" w:cs="Calibri"/>
          <w:sz w:val="24"/>
          <w:szCs w:val="24"/>
        </w:rPr>
        <w:t xml:space="preserve"> “İhtiyar benim elimde değil; fıtratımda adavet var. Hem damarıma dokundurmuşlar, vazgeçemiyorum.”</w:t>
      </w:r>
    </w:p>
    <w:p w:rsidR="00B64843" w:rsidRPr="00B64843" w:rsidRDefault="00B64843" w:rsidP="00B64843">
      <w:pPr>
        <w:spacing w:before="120" w:after="0" w:line="240" w:lineRule="auto"/>
        <w:jc w:val="both"/>
        <w:rPr>
          <w:rFonts w:ascii="Calibri" w:hAnsi="Calibri" w:cs="Calibri"/>
          <w:sz w:val="24"/>
          <w:szCs w:val="24"/>
        </w:rPr>
      </w:pPr>
      <w:r w:rsidRPr="00B64843">
        <w:rPr>
          <w:rFonts w:ascii="Calibri" w:hAnsi="Calibri" w:cs="Calibri"/>
          <w:b/>
          <w:bCs/>
          <w:sz w:val="24"/>
          <w:szCs w:val="24"/>
        </w:rPr>
        <w:t>Elcevab:</w:t>
      </w:r>
      <w:r w:rsidRPr="00B64843">
        <w:rPr>
          <w:rFonts w:ascii="Calibri" w:hAnsi="Calibri" w:cs="Calibri"/>
          <w:sz w:val="24"/>
          <w:szCs w:val="24"/>
        </w:rPr>
        <w:t xml:space="preserve"> Sû’-i hulk ve fena haslet eseri gösterilmezse ve gıybet gibi şeylerle ve muktezasıyla amel edilmezse; kusurunu da anlasa zarar vermez. Madem ihtiyar senin elinde değil, vazgeçemiyorsun. Senin manevî bir nedamet, gizli bir tövbe ve zımnî bir istiğfar hükmünde olan kusurunu bilmen ve o haslette haksız olduğunu anlaman; onun şerrinden seni kurtarır. Zâten bu mektubun bu mebhasını yazdık, tâ bu manevî istiğfarı temin etsin; haksızlığı hak bilmesin, haklı hasmını haksızlıkla teşhir etmesin…” </w:t>
      </w:r>
      <w:r w:rsidRPr="00B64843">
        <w:rPr>
          <w:rFonts w:ascii="Calibri" w:hAnsi="Calibri" w:cs="Calibri"/>
          <w:b/>
          <w:bCs/>
          <w:sz w:val="24"/>
          <w:szCs w:val="24"/>
        </w:rPr>
        <w:t>(Mektubat sh: 267)</w:t>
      </w:r>
    </w:p>
    <w:p w:rsidR="00A525CC" w:rsidRPr="00B64843" w:rsidRDefault="00B64843" w:rsidP="00B64843">
      <w:pPr>
        <w:spacing w:before="120" w:after="0" w:line="240" w:lineRule="auto"/>
        <w:jc w:val="both"/>
        <w:rPr>
          <w:rFonts w:ascii="Calibri" w:hAnsi="Calibri" w:cs="Calibri"/>
          <w:b/>
          <w:bCs/>
          <w:sz w:val="24"/>
          <w:szCs w:val="24"/>
        </w:rPr>
      </w:pPr>
      <w:r w:rsidRPr="00B64843">
        <w:rPr>
          <w:rFonts w:ascii="Calibri" w:hAnsi="Calibri" w:cs="Calibri"/>
          <w:b/>
          <w:bCs/>
          <w:sz w:val="24"/>
          <w:szCs w:val="24"/>
        </w:rPr>
        <w:t>Adab-ı muaşerete bakan mezk</w:t>
      </w:r>
      <w:r>
        <w:rPr>
          <w:rFonts w:ascii="Calibri" w:hAnsi="Calibri" w:cs="Calibri"/>
          <w:b/>
          <w:bCs/>
          <w:sz w:val="24"/>
          <w:szCs w:val="24"/>
        </w:rPr>
        <w:t>û</w:t>
      </w:r>
      <w:r w:rsidRPr="00B64843">
        <w:rPr>
          <w:rFonts w:ascii="Calibri" w:hAnsi="Calibri" w:cs="Calibri"/>
          <w:b/>
          <w:bCs/>
          <w:sz w:val="24"/>
          <w:szCs w:val="24"/>
        </w:rPr>
        <w:t>r kemalat dersleri, İslamiyetin güzelliğini bir mikdar gösterdiğine kıyasla İslam adabını yaşayan bir İslam cemiyetinin mükemmelliği düşünülmelidir.</w:t>
      </w:r>
    </w:p>
    <w:sectPr w:rsidR="00A525CC" w:rsidRPr="00B64843" w:rsidSect="00A525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64843"/>
    <w:rsid w:val="00A525CC"/>
    <w:rsid w:val="00B64843"/>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5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854</Words>
  <Characters>4869</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RISALEINUR</dc:creator>
  <cp:lastModifiedBy>RISALEINUR</cp:lastModifiedBy>
  <cp:revision>1</cp:revision>
  <dcterms:created xsi:type="dcterms:W3CDTF">2021-04-26T11:28:00Z</dcterms:created>
  <dcterms:modified xsi:type="dcterms:W3CDTF">2021-04-26T11:32:00Z</dcterms:modified>
</cp:coreProperties>
</file>